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F8F2B" w14:textId="5F8C06FE" w:rsidR="001E7A69" w:rsidRPr="007C3799" w:rsidRDefault="00D80AC5" w:rsidP="00840597">
      <w:pPr>
        <w:autoSpaceDE w:val="0"/>
        <w:autoSpaceDN w:val="0"/>
        <w:adjustRightInd w:val="0"/>
        <w:jc w:val="center"/>
        <w:rPr>
          <w:rFonts w:ascii="Calibri" w:hAnsi="Calibri" w:cs="Calibri"/>
          <w:b/>
          <w:bCs/>
          <w:color w:val="231F20"/>
          <w:sz w:val="32"/>
          <w:szCs w:val="32"/>
        </w:rPr>
      </w:pPr>
      <w:r w:rsidRPr="007C3799">
        <w:rPr>
          <w:rFonts w:ascii="Calibri" w:hAnsi="Calibri" w:cs="Calibri"/>
          <w:b/>
          <w:bCs/>
          <w:color w:val="231F20"/>
          <w:sz w:val="32"/>
          <w:szCs w:val="32"/>
        </w:rPr>
        <w:t xml:space="preserve">Postgraduate </w:t>
      </w:r>
      <w:r w:rsidR="000B5F50" w:rsidRPr="007C3799">
        <w:rPr>
          <w:rFonts w:ascii="Calibri" w:hAnsi="Calibri" w:cs="Calibri"/>
          <w:b/>
          <w:bCs/>
          <w:color w:val="231F20"/>
          <w:sz w:val="32"/>
          <w:szCs w:val="32"/>
        </w:rPr>
        <w:t>Certificate in Education in Senior Phase and Further Education and Training Teaching</w:t>
      </w:r>
    </w:p>
    <w:p w14:paraId="3E242E5A" w14:textId="77777777" w:rsidR="001E7A69" w:rsidRPr="007C3799" w:rsidRDefault="001E7A69" w:rsidP="00840597">
      <w:pPr>
        <w:jc w:val="center"/>
        <w:rPr>
          <w:rFonts w:ascii="Calibri" w:hAnsi="Calibri" w:cs="Calibri"/>
          <w:b/>
          <w:sz w:val="28"/>
          <w:szCs w:val="28"/>
        </w:rPr>
      </w:pPr>
      <w:r w:rsidRPr="007C3799">
        <w:rPr>
          <w:rFonts w:ascii="Calibri" w:hAnsi="Calibri" w:cs="Calibri"/>
          <w:b/>
          <w:sz w:val="28"/>
          <w:szCs w:val="28"/>
        </w:rPr>
        <w:t>Module Descriptors</w:t>
      </w:r>
    </w:p>
    <w:p w14:paraId="0D130259" w14:textId="77777777" w:rsidR="009E5089" w:rsidRPr="00881568" w:rsidRDefault="009E5089" w:rsidP="007C3799">
      <w:pPr>
        <w:rPr>
          <w:rFonts w:ascii="Calibri" w:hAnsi="Calibri" w:cs="Calibri"/>
          <w:b/>
          <w:szCs w:val="22"/>
        </w:rPr>
      </w:pPr>
    </w:p>
    <w:p w14:paraId="2D4DC708" w14:textId="7F167859" w:rsidR="009E5089" w:rsidRPr="007C3799" w:rsidRDefault="00FE0397" w:rsidP="007C3799">
      <w:pPr>
        <w:rPr>
          <w:rFonts w:ascii="Calibri" w:hAnsi="Calibri" w:cs="Calibri"/>
          <w:b/>
          <w:szCs w:val="22"/>
        </w:rPr>
      </w:pPr>
      <w:r w:rsidRPr="007C3799">
        <w:rPr>
          <w:rFonts w:ascii="Calibri" w:hAnsi="Calibri" w:cs="Calibri"/>
          <w:b/>
          <w:szCs w:val="22"/>
        </w:rPr>
        <w:t>General Pedagogical Learning</w:t>
      </w:r>
      <w:r w:rsidR="009E5089" w:rsidRPr="007C3799">
        <w:rPr>
          <w:rFonts w:ascii="Calibri" w:hAnsi="Calibri" w:cs="Calibri"/>
          <w:b/>
          <w:szCs w:val="22"/>
        </w:rPr>
        <w:t xml:space="preserve"> (NQF </w:t>
      </w:r>
      <w:r w:rsidRPr="007C3799">
        <w:rPr>
          <w:rFonts w:ascii="Calibri" w:hAnsi="Calibri" w:cs="Calibri"/>
          <w:b/>
          <w:szCs w:val="22"/>
        </w:rPr>
        <w:t>7</w:t>
      </w:r>
      <w:r w:rsidR="009E5089" w:rsidRPr="007C3799">
        <w:rPr>
          <w:rFonts w:ascii="Calibri" w:hAnsi="Calibri" w:cs="Calibri"/>
          <w:b/>
          <w:szCs w:val="22"/>
        </w:rPr>
        <w:t xml:space="preserve">, </w:t>
      </w:r>
      <w:r w:rsidR="00123D20" w:rsidRPr="007C3799">
        <w:rPr>
          <w:rFonts w:ascii="Calibri" w:hAnsi="Calibri" w:cs="Calibri"/>
          <w:b/>
          <w:szCs w:val="22"/>
        </w:rPr>
        <w:t>8</w:t>
      </w:r>
      <w:r w:rsidR="009E5089" w:rsidRPr="007C3799">
        <w:rPr>
          <w:rFonts w:ascii="Calibri" w:hAnsi="Calibri" w:cs="Calibri"/>
          <w:b/>
          <w:szCs w:val="22"/>
        </w:rPr>
        <w:t xml:space="preserve"> credits)</w:t>
      </w:r>
    </w:p>
    <w:p w14:paraId="6E6A2452" w14:textId="5A3B297A" w:rsidR="003D479C" w:rsidRPr="007C3799" w:rsidRDefault="003D479C" w:rsidP="007C3799">
      <w:pPr>
        <w:rPr>
          <w:rFonts w:ascii="Calibri" w:hAnsi="Calibri" w:cs="Calibri"/>
        </w:rPr>
      </w:pPr>
      <w:r w:rsidRPr="007C3799">
        <w:rPr>
          <w:rFonts w:ascii="Calibri" w:hAnsi="Calibri" w:cs="Calibri"/>
        </w:rPr>
        <w:t>The module aims to equip student teachers with an integrated and detailed knowledge of the curriculum and introduces them to the basics of teaching and assessment in a South African schooling context. This module encompasses an in-depth exploration of curriculum concepts, including the Curriculum and Assessment Policy Statements (CAPS) system, and a deconstruction of the elements of learning that form part of the curriculum process. It also aims to develop the student’s understanding of, and their ability to apply and evaluate the key terms, concepts, facts, principles, rules, and theories of curriculum and methodology in general.</w:t>
      </w:r>
      <w:r w:rsidR="00881568">
        <w:rPr>
          <w:rFonts w:ascii="Calibri" w:hAnsi="Calibri" w:cs="Calibri"/>
        </w:rPr>
        <w:t xml:space="preserve"> </w:t>
      </w:r>
      <w:r w:rsidRPr="007C3799">
        <w:rPr>
          <w:rFonts w:ascii="Calibri" w:hAnsi="Calibri" w:cs="Calibri"/>
        </w:rPr>
        <w:t>The content of this module exposes students to a range of teaching strategies that are suitable for a learner-centred environment, and it equips beginner teachers with a variety of teaching tools that will enhance the teaching and learning experience in the classroom. The module further explores the benefits of planning and preparing lessons, as well as the purpose behind assessment and the types of assessment. Finally, the content and learning from this module are closely linked with other modules in the programme and much of the application will take place in the teaching specialisation and teaching practice modules.</w:t>
      </w:r>
    </w:p>
    <w:p w14:paraId="79B7E6B2" w14:textId="77777777" w:rsidR="009E5089" w:rsidRPr="007C3799" w:rsidRDefault="009E5089" w:rsidP="007C3799">
      <w:pPr>
        <w:rPr>
          <w:rFonts w:ascii="Calibri" w:hAnsi="Calibri" w:cs="Calibri"/>
          <w:szCs w:val="22"/>
        </w:rPr>
      </w:pPr>
    </w:p>
    <w:p w14:paraId="7F0D6C91" w14:textId="23CD70F0" w:rsidR="003D479C" w:rsidRPr="007C3799" w:rsidRDefault="005B610C" w:rsidP="007C3799">
      <w:pPr>
        <w:rPr>
          <w:rFonts w:ascii="Calibri" w:hAnsi="Calibri" w:cs="Calibri"/>
          <w:b/>
          <w:bCs/>
          <w:szCs w:val="22"/>
        </w:rPr>
      </w:pPr>
      <w:r w:rsidRPr="007C3799">
        <w:rPr>
          <w:rFonts w:ascii="Calibri" w:hAnsi="Calibri" w:cs="Calibri"/>
          <w:b/>
          <w:bCs/>
          <w:szCs w:val="22"/>
        </w:rPr>
        <w:t xml:space="preserve">School-Based Work Integrated Learning (WIL) (NQF 7, </w:t>
      </w:r>
      <w:r w:rsidR="00125147" w:rsidRPr="007C3799">
        <w:rPr>
          <w:rFonts w:ascii="Calibri" w:hAnsi="Calibri" w:cs="Calibri"/>
          <w:b/>
          <w:bCs/>
          <w:szCs w:val="22"/>
        </w:rPr>
        <w:t>32 credits)</w:t>
      </w:r>
    </w:p>
    <w:p w14:paraId="105944EC" w14:textId="6F6E1842" w:rsidR="002C1841" w:rsidRDefault="002C1841" w:rsidP="007C3799">
      <w:pPr>
        <w:rPr>
          <w:rFonts w:ascii="Calibri" w:hAnsi="Calibri" w:cs="Calibri"/>
        </w:rPr>
      </w:pPr>
      <w:r w:rsidRPr="007C3799">
        <w:rPr>
          <w:rFonts w:ascii="Calibri" w:hAnsi="Calibri" w:cs="Calibri"/>
        </w:rPr>
        <w:t>The purpose of the module is to provide students with experiences to develop and hone their teaching and assessment skills within a classroom/school context. This subject relates to situational learning “in” and “from” practice (MRTEQ, 2015). It links closely with the General Pedagogy and Subject Methods modules in that it focuses on professional practice. It is central to the PGCE programme in that the 8 (2 x 4) weeks of school-based teaching practice (WIL) provides the opportunity for the student to link the theoretical studies with actual practice, in context. Prior to this, students are provided with microteaching and other opportunities to develop and practice their teaching skills in a safe environment. The application of the content and learning from other modules in the programme will take place during the teaching practice and School-based WIL sessions. The teaching practice manual aims to guide the learning and clearly spells out the purpose and the requirements for each Teaching Practice session. Students will be presented with “Preparation for Teaching Practice” sessions. During these sessions, students are taken through the manual and the process of setting up their teaching practice portfolios. Information sharing and question and answer (Q&amp;A) sessions are held before each WIL session. After the WIL sessions, an opportunity is created for students to provide feedback on the administration and their actual experiences in schools. They, in turn, are given feedback from the TP evaluators/supervisors and the course administrator.</w:t>
      </w:r>
    </w:p>
    <w:p w14:paraId="30B386BE" w14:textId="77777777" w:rsidR="00881568" w:rsidRPr="007C3799" w:rsidRDefault="00881568" w:rsidP="007C3799">
      <w:pPr>
        <w:rPr>
          <w:rFonts w:ascii="Calibri" w:hAnsi="Calibri" w:cs="Calibri"/>
        </w:rPr>
      </w:pPr>
    </w:p>
    <w:p w14:paraId="1C35FE69" w14:textId="11A5D955" w:rsidR="00AA2F54" w:rsidRPr="007C3799" w:rsidRDefault="00AA2F54" w:rsidP="007C3799">
      <w:pPr>
        <w:rPr>
          <w:rFonts w:ascii="Calibri" w:hAnsi="Calibri" w:cs="Calibri"/>
          <w:b/>
          <w:bCs/>
          <w:szCs w:val="22"/>
        </w:rPr>
      </w:pPr>
      <w:r w:rsidRPr="007C3799">
        <w:rPr>
          <w:rFonts w:ascii="Calibri" w:hAnsi="Calibri" w:cs="Calibri"/>
          <w:b/>
          <w:bCs/>
          <w:szCs w:val="22"/>
        </w:rPr>
        <w:lastRenderedPageBreak/>
        <w:t>Subject Methods: Life Orientation (SP &amp; FET) (NQF, 20 credits)</w:t>
      </w:r>
    </w:p>
    <w:p w14:paraId="582856AB" w14:textId="2035A644" w:rsidR="00326884" w:rsidRPr="007C3799" w:rsidRDefault="00326884" w:rsidP="007C3799">
      <w:pPr>
        <w:rPr>
          <w:rFonts w:ascii="Calibri" w:hAnsi="Calibri" w:cs="Calibri"/>
        </w:rPr>
      </w:pPr>
      <w:r w:rsidRPr="007C3799">
        <w:rPr>
          <w:rFonts w:ascii="Calibri" w:hAnsi="Calibri" w:cs="Calibri"/>
        </w:rPr>
        <w:t xml:space="preserve">This module comprises of </w:t>
      </w:r>
      <w:r w:rsidRPr="00B60EED">
        <w:rPr>
          <w:rFonts w:ascii="Calibri" w:hAnsi="Calibri" w:cs="Calibri"/>
        </w:rPr>
        <w:t>14 sessions spanning two terms</w:t>
      </w:r>
      <w:r w:rsidRPr="007C3799">
        <w:rPr>
          <w:rFonts w:ascii="Calibri" w:hAnsi="Calibri" w:cs="Calibri"/>
        </w:rPr>
        <w:t xml:space="preserve"> and is designed to develop and equip students with the necessary knowledge and skills that are required to master the teaching, learning, and assessment of Life Orientation in the Senior Phase (SP) and the Further Education and Training (FET) Phase as constituted in the National Curriculum Statement (NSC) Grades R-12 (January 2012), which determines the curriculum and assessment processes and procedures within the South African context that apply to the public and independent schooling sectors.</w:t>
      </w:r>
      <w:r w:rsidR="00B60EED">
        <w:rPr>
          <w:rFonts w:ascii="Calibri" w:hAnsi="Calibri" w:cs="Calibri"/>
        </w:rPr>
        <w:t xml:space="preserve"> </w:t>
      </w:r>
      <w:r w:rsidRPr="007C3799">
        <w:rPr>
          <w:rFonts w:ascii="Calibri" w:hAnsi="Calibri" w:cs="Calibri"/>
        </w:rPr>
        <w:t>It also seeks to develop students' understanding of the subject matter, enabling them to gain valuable insight into effective planning, teaching, learning, assessment, and overall classroom management practices. The module will thoroughly engage with the Grade 7 – 12 topics, subtopics, and curriculum content, developing the students' ability to align teaching and assessment with the learning aims.</w:t>
      </w:r>
    </w:p>
    <w:p w14:paraId="5BDC1F43" w14:textId="77777777" w:rsidR="00AA2F54" w:rsidRPr="007C3799" w:rsidRDefault="00AA2F54" w:rsidP="007C3799">
      <w:pPr>
        <w:rPr>
          <w:rFonts w:ascii="Calibri" w:hAnsi="Calibri" w:cs="Calibri"/>
          <w:szCs w:val="22"/>
        </w:rPr>
      </w:pPr>
    </w:p>
    <w:p w14:paraId="067EDB22" w14:textId="1ED7E796" w:rsidR="002C1841" w:rsidRPr="007C3799" w:rsidRDefault="00B54C66" w:rsidP="007C3799">
      <w:pPr>
        <w:rPr>
          <w:rFonts w:ascii="Calibri" w:hAnsi="Calibri" w:cs="Calibri"/>
          <w:b/>
          <w:bCs/>
          <w:szCs w:val="22"/>
        </w:rPr>
      </w:pPr>
      <w:r w:rsidRPr="007C3799">
        <w:rPr>
          <w:rFonts w:ascii="Calibri" w:hAnsi="Calibri" w:cs="Calibri"/>
          <w:b/>
          <w:bCs/>
          <w:szCs w:val="22"/>
        </w:rPr>
        <w:t>Subject Methods: English (SP &amp; FET) (NQF 7, 20 credits)</w:t>
      </w:r>
    </w:p>
    <w:p w14:paraId="43780C44" w14:textId="7A1B061A" w:rsidR="005D6B25" w:rsidRPr="007C3799" w:rsidRDefault="005D6B25" w:rsidP="007C3799">
      <w:pPr>
        <w:rPr>
          <w:rFonts w:ascii="Calibri" w:hAnsi="Calibri" w:cs="Calibri"/>
        </w:rPr>
      </w:pPr>
      <w:r w:rsidRPr="007C3799">
        <w:rPr>
          <w:rFonts w:ascii="Calibri" w:hAnsi="Calibri" w:cs="Calibri"/>
        </w:rPr>
        <w:t xml:space="preserve">This module comprises of </w:t>
      </w:r>
      <w:r w:rsidRPr="00B60EED">
        <w:rPr>
          <w:rFonts w:ascii="Calibri" w:hAnsi="Calibri" w:cs="Calibri"/>
        </w:rPr>
        <w:t>14 sessions spanning two terms</w:t>
      </w:r>
      <w:r w:rsidRPr="007C3799">
        <w:rPr>
          <w:rFonts w:ascii="Calibri" w:hAnsi="Calibri" w:cs="Calibri"/>
        </w:rPr>
        <w:t xml:space="preserve"> which will focus on both the theoretical knowledge and practical methods of English Home Language teaching – specifically the four skills of reading, writing, speaking and listening, as spelled out in the English Home Language Curriculum and Assessment Policy Statement (CAPS). Students will also understand the rationale behind lesson scaffolding when presenting these skills. They will learn how to design effective tasks and practice situations and be introduced to various methods of assessment of and for learning. Students are encouraged to adopt a critical and reflective approach to ensure that they are meeting the needs of the learners. They should remain lifelong learners through participating in peer-evaluation sessions and through belonging to subject committees. These interactions will allow them to develop an informed view of teaching and of their learners.</w:t>
      </w:r>
    </w:p>
    <w:p w14:paraId="393B9DC3" w14:textId="77777777" w:rsidR="00B54C66" w:rsidRPr="007C3799" w:rsidRDefault="00B54C66" w:rsidP="007C3799">
      <w:pPr>
        <w:rPr>
          <w:rFonts w:ascii="Calibri" w:hAnsi="Calibri" w:cs="Calibri"/>
          <w:szCs w:val="22"/>
        </w:rPr>
      </w:pPr>
    </w:p>
    <w:p w14:paraId="3F9AD75F" w14:textId="6BE04653" w:rsidR="005D6B25" w:rsidRPr="007C3799" w:rsidRDefault="00CB1C63" w:rsidP="007C3799">
      <w:pPr>
        <w:rPr>
          <w:rFonts w:ascii="Calibri" w:hAnsi="Calibri" w:cs="Calibri"/>
          <w:b/>
          <w:bCs/>
          <w:szCs w:val="22"/>
        </w:rPr>
      </w:pPr>
      <w:r w:rsidRPr="007C3799">
        <w:rPr>
          <w:rFonts w:ascii="Calibri" w:hAnsi="Calibri" w:cs="Calibri"/>
          <w:b/>
          <w:bCs/>
          <w:szCs w:val="22"/>
        </w:rPr>
        <w:t>History and Philosophy of Education (NQF 7, 12 credits)</w:t>
      </w:r>
    </w:p>
    <w:p w14:paraId="175D4278" w14:textId="77777777" w:rsidR="00677829" w:rsidRPr="007C3799" w:rsidRDefault="00677829" w:rsidP="007C3799">
      <w:pPr>
        <w:rPr>
          <w:rFonts w:ascii="Calibri" w:hAnsi="Calibri" w:cs="Calibri"/>
        </w:rPr>
      </w:pPr>
      <w:r w:rsidRPr="007C3799">
        <w:rPr>
          <w:rFonts w:ascii="Calibri" w:hAnsi="Calibri" w:cs="Calibri"/>
        </w:rPr>
        <w:t>This module examines the history of educational thought, institutions, and policies, primarily focusing on education in South Africa. The module addresses the origins of education and how ideas about culture, education and schools have historically shaped education, and whether these ideas remain relevant for contemporary education. Focus is given to philosophies and ideals that continue to shape educational thought. These are defined, explained and critically evaluated in terms of their impact on education in South Africa. The module also prepares students to interpret, criticize, and construct educational ideas and arguments. Students will be able to reflect on what it means and has meant to be an educated person in South Africa. The module addresses issues of school governance in the administration of education in South Africa. Finally, this module interrogates the challenges of providing equal educational opportunity within an inclusive educational philosophy in meeting the dynamic purposes of education going forward.</w:t>
      </w:r>
    </w:p>
    <w:p w14:paraId="3789DFBD" w14:textId="77777777" w:rsidR="00CB1C63" w:rsidRPr="007C3799" w:rsidRDefault="00CB1C63" w:rsidP="007C3799">
      <w:pPr>
        <w:rPr>
          <w:rFonts w:ascii="Calibri" w:hAnsi="Calibri" w:cs="Calibri"/>
          <w:szCs w:val="22"/>
        </w:rPr>
      </w:pPr>
    </w:p>
    <w:p w14:paraId="3E50270E" w14:textId="66246D6A" w:rsidR="00B54C66" w:rsidRPr="007C3799" w:rsidRDefault="00CA183B" w:rsidP="007C3799">
      <w:pPr>
        <w:rPr>
          <w:rFonts w:ascii="Calibri" w:hAnsi="Calibri" w:cs="Calibri"/>
          <w:b/>
          <w:bCs/>
          <w:szCs w:val="22"/>
        </w:rPr>
      </w:pPr>
      <w:r w:rsidRPr="007C3799">
        <w:rPr>
          <w:rFonts w:ascii="Calibri" w:hAnsi="Calibri" w:cs="Calibri"/>
          <w:b/>
          <w:bCs/>
          <w:szCs w:val="22"/>
        </w:rPr>
        <w:t>Educati</w:t>
      </w:r>
      <w:r w:rsidR="006E3F48" w:rsidRPr="007C3799">
        <w:rPr>
          <w:rFonts w:ascii="Calibri" w:hAnsi="Calibri" w:cs="Calibri"/>
          <w:b/>
          <w:bCs/>
          <w:szCs w:val="22"/>
        </w:rPr>
        <w:t>o</w:t>
      </w:r>
      <w:r w:rsidRPr="007C3799">
        <w:rPr>
          <w:rFonts w:ascii="Calibri" w:hAnsi="Calibri" w:cs="Calibri"/>
          <w:b/>
          <w:bCs/>
          <w:szCs w:val="22"/>
        </w:rPr>
        <w:t xml:space="preserve">nal Management and Research (NQF 7, </w:t>
      </w:r>
      <w:r w:rsidR="006E3F48" w:rsidRPr="007C3799">
        <w:rPr>
          <w:rFonts w:ascii="Calibri" w:hAnsi="Calibri" w:cs="Calibri"/>
          <w:b/>
          <w:bCs/>
          <w:szCs w:val="22"/>
        </w:rPr>
        <w:t>10 credits)</w:t>
      </w:r>
    </w:p>
    <w:p w14:paraId="36EFA201" w14:textId="682A15F4" w:rsidR="00E07D2F" w:rsidRPr="007C3799" w:rsidRDefault="00E07D2F" w:rsidP="007C3799">
      <w:pPr>
        <w:rPr>
          <w:rFonts w:ascii="Calibri" w:eastAsia="Calibri" w:hAnsi="Calibri" w:cs="Calibri"/>
          <w:bCs/>
          <w:color w:val="000000"/>
        </w:rPr>
      </w:pPr>
      <w:r w:rsidRPr="007C3799">
        <w:rPr>
          <w:rFonts w:ascii="Calibri" w:eastAsia="Calibri" w:hAnsi="Calibri" w:cs="Calibri"/>
          <w:bCs/>
          <w:color w:val="000000"/>
        </w:rPr>
        <w:t xml:space="preserve">This module equips Life Orientation educators, specialising in teaching, Guidance and Counselling, and Specialised Learner Support, to excel in guiding learners and assuming leadership roles. It emphasises a deep grasp of school leadership and management for SACAP Life Orientation educators. Students gain practical and conceptual insights into historical and current education policies, exploring principles of school governance and management within official regulations. The module evaluates leadership styles from autocracy to distributed models, progressing from principal-centric to distributed instructional leadership with an emphasis on professional growth. It also examines the roles of principals, school </w:t>
      </w:r>
      <w:r w:rsidRPr="007C3799">
        <w:rPr>
          <w:rFonts w:ascii="Calibri" w:eastAsia="Calibri" w:hAnsi="Calibri" w:cs="Calibri"/>
          <w:bCs/>
          <w:color w:val="000000"/>
        </w:rPr>
        <w:lastRenderedPageBreak/>
        <w:t>management teams, and educators in ensuring quality teaching, effective classroom management, and a conducive learning environment. The module contextualises educational leadership and management in diverse South African socioeconomic settings, fostering an understanding of education's role in societal transformation. It underscores that while education sparks change, well-grounded research serves as the catalyst. The second part introduces students to research, breaking down paradigms, theoretical constructs, and methodologies. The content is presented in a step-by-step manner to demystify research, highlighting its significance, contribution to a better world, problem-solving capacity, and role in informed decision-making. The module underscores that dedicated scholarly research drives human progress, enhancing comfort, reducing suffering, and addressing global challenges, ultimately guiding actions and behaviour.</w:t>
      </w:r>
    </w:p>
    <w:p w14:paraId="1A666B05" w14:textId="77777777" w:rsidR="006E3F48" w:rsidRPr="007C3799" w:rsidRDefault="006E3F48" w:rsidP="007C3799">
      <w:pPr>
        <w:rPr>
          <w:rFonts w:ascii="Calibri" w:hAnsi="Calibri" w:cs="Calibri"/>
          <w:szCs w:val="22"/>
        </w:rPr>
      </w:pPr>
    </w:p>
    <w:p w14:paraId="76835873" w14:textId="242A1C39" w:rsidR="00E07D2F" w:rsidRPr="007C3799" w:rsidRDefault="00E2068B" w:rsidP="007C3799">
      <w:pPr>
        <w:rPr>
          <w:rFonts w:ascii="Calibri" w:hAnsi="Calibri" w:cs="Calibri"/>
          <w:b/>
          <w:bCs/>
          <w:szCs w:val="22"/>
        </w:rPr>
      </w:pPr>
      <w:r w:rsidRPr="007C3799">
        <w:rPr>
          <w:rFonts w:ascii="Calibri" w:hAnsi="Calibri" w:cs="Calibri"/>
          <w:b/>
          <w:bCs/>
          <w:szCs w:val="22"/>
        </w:rPr>
        <w:t>Educational Psychology (NQF 7, 10 credits)</w:t>
      </w:r>
    </w:p>
    <w:p w14:paraId="653171F3" w14:textId="63E9BBB8" w:rsidR="00387FB4" w:rsidRPr="007C3799" w:rsidRDefault="00387FB4" w:rsidP="1BF22D4E">
      <w:pPr>
        <w:rPr>
          <w:rFonts w:ascii="Calibri" w:hAnsi="Calibri" w:cs="Calibri"/>
          <w:lang w:val="en-ZA"/>
        </w:rPr>
      </w:pPr>
      <w:r w:rsidRPr="1BF22D4E">
        <w:rPr>
          <w:rFonts w:ascii="Calibri" w:hAnsi="Calibri" w:cs="Calibri"/>
        </w:rPr>
        <w:t>This module aims to develop competent teachers who can effectively apply psychological principles in diverse teaching environments, taking into account the various barriers to learning present in the South African educational system. It explores the concept of quality education for all learners, emphasizing an "ecosystemic theoretical framework" to understand quality and effectiveness in the overall education process.</w:t>
      </w:r>
      <w:r w:rsidRPr="1BF22D4E">
        <w:rPr>
          <w:rFonts w:ascii="Calibri" w:hAnsi="Calibri" w:cs="Calibri"/>
          <w:color w:val="374151"/>
        </w:rPr>
        <w:t xml:space="preserve"> </w:t>
      </w:r>
      <w:r w:rsidRPr="1BF22D4E">
        <w:rPr>
          <w:rFonts w:ascii="Calibri" w:hAnsi="Calibri" w:cs="Calibri"/>
        </w:rPr>
        <w:t xml:space="preserve">Central to the module is an applied psychology approach to education, emphasizing positive psychology and its role in fostering internal resilience, transforming stress into well-being, and crisis into competence. Students will gain insight into human development as it relates to teaching and learning, with a specific focus on brain flexibility and cognitive development. </w:t>
      </w:r>
      <w:r w:rsidRPr="1BF22D4E">
        <w:rPr>
          <w:rFonts w:ascii="Calibri" w:hAnsi="Calibri" w:cs="Calibri"/>
          <w:lang w:val="en-ZA"/>
        </w:rPr>
        <w:t>The module also examines the social context and its impact on learner resilience, reviewing the wide range of disadvantages experienced in South African schools. Students will become familiar with various disabilities and learning difficulties faced by learners. Lastly, the module provides practical strategies for guiding, supporting, and caring for learners, addressing the complex socio-emotional challenges that teachers encounter in the South African schooling landscape.</w:t>
      </w:r>
    </w:p>
    <w:p w14:paraId="7BB2539B" w14:textId="77777777" w:rsidR="00E2068B" w:rsidRPr="007C3799" w:rsidRDefault="00E2068B" w:rsidP="007C3799">
      <w:pPr>
        <w:rPr>
          <w:rFonts w:ascii="Calibri" w:hAnsi="Calibri" w:cs="Calibri"/>
          <w:szCs w:val="22"/>
        </w:rPr>
      </w:pPr>
    </w:p>
    <w:p w14:paraId="0BF2CF64" w14:textId="56E9D318" w:rsidR="00042787" w:rsidRPr="007C3799" w:rsidRDefault="00042787" w:rsidP="007C3799">
      <w:pPr>
        <w:rPr>
          <w:rFonts w:ascii="Calibri" w:hAnsi="Calibri" w:cs="Calibri"/>
          <w:b/>
          <w:bCs/>
          <w:szCs w:val="22"/>
        </w:rPr>
      </w:pPr>
      <w:r w:rsidRPr="007C3799">
        <w:rPr>
          <w:rFonts w:ascii="Calibri" w:hAnsi="Calibri" w:cs="Calibri"/>
          <w:b/>
          <w:bCs/>
          <w:szCs w:val="22"/>
        </w:rPr>
        <w:t>Teacher and the Profession (NQF 7, 8 credits)</w:t>
      </w:r>
    </w:p>
    <w:p w14:paraId="32447A29" w14:textId="21733E1B" w:rsidR="00E501F4" w:rsidRPr="007C3799" w:rsidRDefault="00E501F4" w:rsidP="007C3799">
      <w:pPr>
        <w:rPr>
          <w:rFonts w:ascii="Calibri" w:hAnsi="Calibri" w:cs="Calibri"/>
          <w:szCs w:val="22"/>
        </w:rPr>
      </w:pPr>
      <w:r w:rsidRPr="007C3799">
        <w:rPr>
          <w:rFonts w:ascii="Calibri" w:hAnsi="Calibri" w:cs="Calibri"/>
          <w:szCs w:val="22"/>
        </w:rPr>
        <w:t>The module examines the transformative nature of education in the 2020s, influenced by the global COVID-19 pandemic and the advancements of the 4th industrial revolution. With increased access to technology and information, educators must develop critical thinking skills to navigate the abundance of knowledge while fostering connectedness. Teaching entails complex responsibilities, requiring self-awareness, mentoring future leaders, envisioning the future, and facilitating learning. Students' learning experiences are shaped by teachers' subject matter knowledge, teaching skills, personality, and personal growth. To be effective, teachers need passion for their subjects, self-identity, and collaborative abilities. This module emphasizes reflective practice, where teachers thoughtfully consider their work, ethics, professional development, and the contextual factors that influence their roles. Understanding both the internal school context and the external community context in South Africa is essential. Teaching is a regulated profession with codes of conduct, rules, regulations, and evaluation systems such as the Quality Management System (QMS). South African teachers face numerous challenges, including violence in schools, and this module addresses strategies for creating safe environments for teachers and learners.</w:t>
      </w:r>
    </w:p>
    <w:p w14:paraId="2F340B4B" w14:textId="77777777" w:rsidR="00042787" w:rsidRPr="007C3799" w:rsidRDefault="00042787" w:rsidP="007C3799">
      <w:pPr>
        <w:rPr>
          <w:rFonts w:ascii="Calibri" w:hAnsi="Calibri" w:cs="Calibri"/>
          <w:szCs w:val="22"/>
        </w:rPr>
      </w:pPr>
    </w:p>
    <w:p w14:paraId="09FA33A2" w14:textId="6108069E" w:rsidR="00387FB4" w:rsidRPr="007C3799" w:rsidRDefault="00F56FC9" w:rsidP="007C3799">
      <w:pPr>
        <w:rPr>
          <w:rFonts w:ascii="Calibri" w:hAnsi="Calibri" w:cs="Calibri"/>
          <w:b/>
          <w:bCs/>
          <w:szCs w:val="22"/>
        </w:rPr>
      </w:pPr>
      <w:r w:rsidRPr="007C3799">
        <w:rPr>
          <w:rFonts w:ascii="Calibri" w:hAnsi="Calibri" w:cs="Calibri"/>
          <w:b/>
          <w:bCs/>
          <w:szCs w:val="22"/>
        </w:rPr>
        <w:t>Guidance, Counselling and Specialised Learning Support (NQF 7, 20 credits)</w:t>
      </w:r>
    </w:p>
    <w:p w14:paraId="78690E31" w14:textId="3E5041B1" w:rsidR="00F105F3" w:rsidRPr="007C3799" w:rsidRDefault="00F105F3" w:rsidP="3329542E">
      <w:pPr>
        <w:spacing w:line="259" w:lineRule="auto"/>
        <w:rPr>
          <w:rFonts w:ascii="Calibri" w:hAnsi="Calibri" w:cs="Calibri"/>
        </w:rPr>
      </w:pPr>
      <w:r w:rsidRPr="3329542E">
        <w:rPr>
          <w:rFonts w:ascii="Calibri" w:hAnsi="Calibri" w:cs="Calibri"/>
        </w:rPr>
        <w:t xml:space="preserve">This module aims to equip students with essential </w:t>
      </w:r>
      <w:r w:rsidR="52E665B7" w:rsidRPr="3329542E">
        <w:rPr>
          <w:rFonts w:ascii="Calibri" w:hAnsi="Calibri" w:cs="Calibri"/>
        </w:rPr>
        <w:t xml:space="preserve">emotional support </w:t>
      </w:r>
      <w:r w:rsidRPr="3329542E">
        <w:rPr>
          <w:rFonts w:ascii="Calibri" w:hAnsi="Calibri" w:cs="Calibri"/>
        </w:rPr>
        <w:t>skills specifically for educators. It focuses on providing students with the tools needed to offer emotional support to learners</w:t>
      </w:r>
      <w:r w:rsidR="5FDEE6E7" w:rsidRPr="3329542E">
        <w:rPr>
          <w:rFonts w:ascii="Calibri" w:hAnsi="Calibri" w:cs="Calibri"/>
        </w:rPr>
        <w:t>, as teachers</w:t>
      </w:r>
      <w:r w:rsidRPr="3329542E">
        <w:rPr>
          <w:rFonts w:ascii="Calibri" w:hAnsi="Calibri" w:cs="Calibri"/>
        </w:rPr>
        <w:t xml:space="preserve">, thereby improving their overall educational experience. As students participate in this module, they adopt the </w:t>
      </w:r>
      <w:r w:rsidR="2E771400" w:rsidRPr="3329542E">
        <w:rPr>
          <w:rFonts w:ascii="Calibri" w:hAnsi="Calibri" w:cs="Calibri"/>
        </w:rPr>
        <w:t xml:space="preserve">emotional support </w:t>
      </w:r>
      <w:r w:rsidRPr="3329542E">
        <w:rPr>
          <w:rFonts w:ascii="Calibri" w:hAnsi="Calibri" w:cs="Calibri"/>
        </w:rPr>
        <w:t>skills taught, recognize their limitations</w:t>
      </w:r>
      <w:r w:rsidR="15130A39" w:rsidRPr="3329542E">
        <w:rPr>
          <w:rFonts w:ascii="Calibri" w:hAnsi="Calibri" w:cs="Calibri"/>
        </w:rPr>
        <w:t>, ethical principles</w:t>
      </w:r>
      <w:r w:rsidRPr="3329542E">
        <w:rPr>
          <w:rFonts w:ascii="Calibri" w:hAnsi="Calibri" w:cs="Calibri"/>
        </w:rPr>
        <w:t>, and understand their primary role as educators.</w:t>
      </w:r>
      <w:r w:rsidR="007C3799" w:rsidRPr="3329542E">
        <w:rPr>
          <w:rFonts w:ascii="Calibri" w:hAnsi="Calibri" w:cs="Calibri"/>
        </w:rPr>
        <w:t xml:space="preserve"> </w:t>
      </w:r>
      <w:r w:rsidRPr="3329542E">
        <w:rPr>
          <w:rFonts w:ascii="Calibri" w:hAnsi="Calibri" w:cs="Calibri"/>
        </w:rPr>
        <w:t xml:space="preserve">This module aims to cultivate student teachers who comprehend the importance of effective learning environments by studying diverse educational and mental health theories. Through guidance, reflective practice, and helping skills, student teachers will learn to apply identification, referral, and teacher-learner support strategies to diverse learners in senior and FET phases, with due respect given to the legal, professional, and ethical aspects, and emphasizing cultural diversity. </w:t>
      </w:r>
      <w:r w:rsidR="0C2F7C3F" w:rsidRPr="3329542E">
        <w:rPr>
          <w:rFonts w:ascii="Calibri" w:hAnsi="Calibri" w:cs="Calibri"/>
        </w:rPr>
        <w:t xml:space="preserve">Students will learn about screening tests that educators may administer when they become part of the School Based Support Team. </w:t>
      </w:r>
      <w:r w:rsidRPr="3329542E">
        <w:rPr>
          <w:rFonts w:ascii="Calibri" w:hAnsi="Calibri" w:cs="Calibri"/>
        </w:rPr>
        <w:t>Exploring learning disabilities, inclusiveness, and technology for diverse senior and FET phase learners. Equipped with the knowledge gained, student teachers can guide learners in making informed decisions about subject choices, careers, and further education. They will provide learning support, nurture talents, and prepare students for life beyond school. The course enhances active listening skills, problem reflection, and solution selection, enabling student teachers to design school-wide guidance programs, especially for career development. Considering our rapidly changing world, the module explores the future of work in the digital era, where AI, robotics, and complex systems redefine careers. Acknowledging the unpredictability of the future due to the pace and complexity of the fourth industrial revolution, the module highlights the evolving nature of jobs, technology, and global systems.</w:t>
      </w:r>
      <w:r w:rsidR="00B02074" w:rsidRPr="3329542E">
        <w:rPr>
          <w:rFonts w:ascii="Calibri" w:hAnsi="Calibri" w:cs="Calibri"/>
        </w:rPr>
        <w:t xml:space="preserve"> </w:t>
      </w:r>
      <w:r w:rsidRPr="3329542E">
        <w:rPr>
          <w:rFonts w:ascii="Calibri" w:hAnsi="Calibri" w:cs="Calibri"/>
        </w:rPr>
        <w:t xml:space="preserve">Although it does not train teachers as professional counsellors, the module aims to raise awareness of social impact initiatives that support student well-being, emphasizing the importance of referring students to professional help when needed. In summary, this module empowers student teachers to integrate counselling skills, foster supportive environments, and adapt to the changing landscape of education, focusing on holistic well-being for both learners and teachers. </w:t>
      </w:r>
    </w:p>
    <w:p w14:paraId="2A485A3D" w14:textId="77777777" w:rsidR="00F56FC9" w:rsidRPr="007C3799" w:rsidRDefault="00F56FC9" w:rsidP="007C3799">
      <w:pPr>
        <w:rPr>
          <w:rFonts w:ascii="Calibri" w:hAnsi="Calibri" w:cs="Calibri"/>
          <w:szCs w:val="22"/>
        </w:rPr>
      </w:pPr>
    </w:p>
    <w:sectPr w:rsidR="00F56FC9" w:rsidRPr="007C3799" w:rsidSect="007C3799">
      <w:headerReference w:type="default" r:id="rId11"/>
      <w:footerReference w:type="default" r:id="rId12"/>
      <w:headerReference w:type="first" r:id="rId13"/>
      <w:footerReference w:type="first" r:id="rId14"/>
      <w:pgSz w:w="12240" w:h="15840"/>
      <w:pgMar w:top="993" w:right="1418" w:bottom="1418" w:left="1418" w:header="360"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40B9" w14:textId="77777777" w:rsidR="001F0435" w:rsidRDefault="001F0435">
      <w:r>
        <w:separator/>
      </w:r>
    </w:p>
  </w:endnote>
  <w:endnote w:type="continuationSeparator" w:id="0">
    <w:p w14:paraId="3144B711" w14:textId="77777777" w:rsidR="001F0435" w:rsidRDefault="001F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9054" w14:textId="77777777" w:rsidR="009E5089" w:rsidRPr="007A1DB5" w:rsidRDefault="009E5089" w:rsidP="009E5089">
    <w:pPr>
      <w:pStyle w:val="Footer"/>
      <w:tabs>
        <w:tab w:val="clear" w:pos="4320"/>
        <w:tab w:val="clear" w:pos="8640"/>
      </w:tabs>
      <w:spacing w:before="0" w:after="0"/>
      <w:jc w:val="center"/>
      <w:rPr>
        <w:i/>
        <w:color w:val="4D4D4D"/>
        <w:sz w:val="16"/>
        <w:szCs w:val="16"/>
      </w:rPr>
    </w:pPr>
    <w:r w:rsidRPr="007A1DB5">
      <w:rPr>
        <w:i/>
        <w:color w:val="4D4D4D"/>
        <w:sz w:val="16"/>
        <w:szCs w:val="16"/>
      </w:rPr>
      <w:t xml:space="preserve">The South African College of Applied Psychology (Pty) Ltd is registered with the Department of Higher Education and Training as a Private Higher Education Institution under the Higher Education Act, 1997. </w:t>
    </w:r>
  </w:p>
  <w:p w14:paraId="072085C4" w14:textId="77777777" w:rsidR="003C3728" w:rsidRPr="007A1DB5" w:rsidRDefault="009E5089" w:rsidP="0066155E">
    <w:pPr>
      <w:pStyle w:val="Footer"/>
      <w:tabs>
        <w:tab w:val="clear" w:pos="4320"/>
        <w:tab w:val="clear" w:pos="8640"/>
      </w:tabs>
      <w:spacing w:before="0" w:after="0"/>
      <w:jc w:val="center"/>
      <w:rPr>
        <w:i/>
        <w:sz w:val="18"/>
        <w:szCs w:val="18"/>
      </w:rPr>
    </w:pPr>
    <w:r w:rsidRPr="007A1DB5">
      <w:rPr>
        <w:i/>
        <w:color w:val="4D4D4D"/>
        <w:sz w:val="16"/>
        <w:szCs w:val="16"/>
      </w:rPr>
      <w:t>Registration Certificate Number: 2005/HE07/001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358891"/>
      <w:docPartObj>
        <w:docPartGallery w:val="Page Numbers (Bottom of Page)"/>
        <w:docPartUnique/>
      </w:docPartObj>
    </w:sdtPr>
    <w:sdtEndPr>
      <w:rPr>
        <w:noProof/>
      </w:rPr>
    </w:sdtEndPr>
    <w:sdtContent>
      <w:p w14:paraId="51AC42A2" w14:textId="77777777" w:rsidR="009E5089" w:rsidRPr="007A1DB5" w:rsidRDefault="009E5089" w:rsidP="009E5089">
        <w:pPr>
          <w:pStyle w:val="Footer"/>
          <w:tabs>
            <w:tab w:val="clear" w:pos="4320"/>
            <w:tab w:val="clear" w:pos="8640"/>
          </w:tabs>
          <w:spacing w:before="0" w:after="0"/>
          <w:jc w:val="center"/>
          <w:rPr>
            <w:i/>
            <w:color w:val="4D4D4D"/>
            <w:sz w:val="16"/>
            <w:szCs w:val="16"/>
          </w:rPr>
        </w:pPr>
        <w:r w:rsidRPr="007A1DB5">
          <w:rPr>
            <w:i/>
            <w:color w:val="4D4D4D"/>
            <w:sz w:val="16"/>
            <w:szCs w:val="16"/>
          </w:rPr>
          <w:t xml:space="preserve">The South African College of Applied Psychology (Pty) Ltd is registered with the Department of Higher Education and Training as a Private Higher Education Institution under the Higher Education Act, 1997. </w:t>
        </w:r>
      </w:p>
      <w:p w14:paraId="5885209C" w14:textId="77777777" w:rsidR="00370762" w:rsidRPr="007A1DB5" w:rsidRDefault="009E5089" w:rsidP="009E5089">
        <w:pPr>
          <w:pStyle w:val="Footer"/>
          <w:tabs>
            <w:tab w:val="clear" w:pos="4320"/>
            <w:tab w:val="clear" w:pos="8640"/>
          </w:tabs>
          <w:spacing w:before="0" w:after="0"/>
          <w:jc w:val="center"/>
          <w:rPr>
            <w:i/>
            <w:sz w:val="18"/>
            <w:szCs w:val="18"/>
          </w:rPr>
        </w:pPr>
        <w:r w:rsidRPr="007A1DB5">
          <w:rPr>
            <w:i/>
            <w:color w:val="4D4D4D"/>
            <w:sz w:val="16"/>
            <w:szCs w:val="16"/>
          </w:rPr>
          <w:t>Registration Certificate Number: 2005/HE07/001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11A7" w14:textId="77777777" w:rsidR="001F0435" w:rsidRDefault="001F0435">
      <w:r>
        <w:separator/>
      </w:r>
    </w:p>
  </w:footnote>
  <w:footnote w:type="continuationSeparator" w:id="0">
    <w:p w14:paraId="39626209" w14:textId="77777777" w:rsidR="001F0435" w:rsidRDefault="001F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018828"/>
      <w:docPartObj>
        <w:docPartGallery w:val="Page Numbers (Top of Page)"/>
        <w:docPartUnique/>
      </w:docPartObj>
    </w:sdtPr>
    <w:sdtEndPr>
      <w:rPr>
        <w:rFonts w:ascii="Nunito" w:hAnsi="Nunito"/>
        <w:noProof/>
        <w:sz w:val="20"/>
        <w:szCs w:val="20"/>
      </w:rPr>
    </w:sdtEndPr>
    <w:sdtContent>
      <w:p w14:paraId="62CDF39F" w14:textId="77777777" w:rsidR="009E5089" w:rsidRPr="009E5089" w:rsidRDefault="009E5089">
        <w:pPr>
          <w:pStyle w:val="Header"/>
          <w:jc w:val="center"/>
          <w:rPr>
            <w:rFonts w:ascii="Nunito" w:hAnsi="Nunito"/>
            <w:sz w:val="20"/>
            <w:szCs w:val="20"/>
          </w:rPr>
        </w:pPr>
        <w:r w:rsidRPr="009E5089">
          <w:rPr>
            <w:rFonts w:ascii="Nunito" w:hAnsi="Nunito"/>
            <w:sz w:val="20"/>
            <w:szCs w:val="20"/>
          </w:rPr>
          <w:fldChar w:fldCharType="begin"/>
        </w:r>
        <w:r w:rsidRPr="009E5089">
          <w:rPr>
            <w:rFonts w:ascii="Nunito" w:hAnsi="Nunito"/>
            <w:sz w:val="20"/>
            <w:szCs w:val="20"/>
          </w:rPr>
          <w:instrText xml:space="preserve"> PAGE   \* MERGEFORMAT </w:instrText>
        </w:r>
        <w:r w:rsidRPr="009E5089">
          <w:rPr>
            <w:rFonts w:ascii="Nunito" w:hAnsi="Nunito"/>
            <w:sz w:val="20"/>
            <w:szCs w:val="20"/>
          </w:rPr>
          <w:fldChar w:fldCharType="separate"/>
        </w:r>
        <w:r w:rsidR="00840597">
          <w:rPr>
            <w:rFonts w:ascii="Nunito" w:hAnsi="Nunito"/>
            <w:noProof/>
            <w:sz w:val="20"/>
            <w:szCs w:val="20"/>
          </w:rPr>
          <w:t>3</w:t>
        </w:r>
        <w:r w:rsidRPr="009E5089">
          <w:rPr>
            <w:rFonts w:ascii="Nunito" w:hAnsi="Nunito"/>
            <w:noProof/>
            <w:sz w:val="20"/>
            <w:szCs w:val="20"/>
          </w:rPr>
          <w:fldChar w:fldCharType="end"/>
        </w:r>
      </w:p>
    </w:sdtContent>
  </w:sdt>
  <w:p w14:paraId="1208193E" w14:textId="77777777" w:rsidR="005167A4" w:rsidRPr="00C34183" w:rsidRDefault="005167A4" w:rsidP="00C34183">
    <w:pP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63D2" w14:textId="77777777" w:rsidR="00370762" w:rsidRDefault="009E5089" w:rsidP="003C3728">
    <w:pPr>
      <w:pStyle w:val="Header"/>
      <w:tabs>
        <w:tab w:val="clear" w:pos="4320"/>
        <w:tab w:val="clear" w:pos="8640"/>
      </w:tabs>
      <w:jc w:val="center"/>
    </w:pPr>
    <w:r>
      <w:rPr>
        <w:noProof/>
        <w:lang w:val="en-ZA" w:eastAsia="en-ZA"/>
      </w:rPr>
      <w:drawing>
        <wp:inline distT="0" distB="0" distL="0" distR="0" wp14:anchorId="13EC1D3E" wp14:editId="642A8CB1">
          <wp:extent cx="3055799" cy="1524000"/>
          <wp:effectExtent l="0" t="0" r="0" b="0"/>
          <wp:docPr id="2043247655" name="Picture 204324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3073500" cy="1532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C3B"/>
    <w:multiLevelType w:val="hybridMultilevel"/>
    <w:tmpl w:val="5A9203C6"/>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 w15:restartNumberingAfterBreak="0">
    <w:nsid w:val="059D1259"/>
    <w:multiLevelType w:val="hybridMultilevel"/>
    <w:tmpl w:val="3A10D7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0D0E80"/>
    <w:multiLevelType w:val="hybridMultilevel"/>
    <w:tmpl w:val="D674DD6E"/>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27F3CA5"/>
    <w:multiLevelType w:val="hybridMultilevel"/>
    <w:tmpl w:val="9EA82A26"/>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30D19AA"/>
    <w:multiLevelType w:val="hybridMultilevel"/>
    <w:tmpl w:val="1BAE3A8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AFE3942"/>
    <w:multiLevelType w:val="hybridMultilevel"/>
    <w:tmpl w:val="C4CE9B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CF1C5B"/>
    <w:multiLevelType w:val="hybridMultilevel"/>
    <w:tmpl w:val="39BA13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29602DE"/>
    <w:multiLevelType w:val="hybridMultilevel"/>
    <w:tmpl w:val="7CF425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6495B05"/>
    <w:multiLevelType w:val="hybridMultilevel"/>
    <w:tmpl w:val="8D24020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8264361"/>
    <w:multiLevelType w:val="hybridMultilevel"/>
    <w:tmpl w:val="54BE98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3740E22"/>
    <w:multiLevelType w:val="hybridMultilevel"/>
    <w:tmpl w:val="039CBA6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4DA1E66"/>
    <w:multiLevelType w:val="hybridMultilevel"/>
    <w:tmpl w:val="B14066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ABA7383"/>
    <w:multiLevelType w:val="hybridMultilevel"/>
    <w:tmpl w:val="6D5E0814"/>
    <w:lvl w:ilvl="0" w:tplc="EBB2BA60">
      <w:start w:val="1"/>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4AD45C9A"/>
    <w:multiLevelType w:val="hybridMultilevel"/>
    <w:tmpl w:val="B902162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4" w15:restartNumberingAfterBreak="0">
    <w:nsid w:val="4C650880"/>
    <w:multiLevelType w:val="hybridMultilevel"/>
    <w:tmpl w:val="67769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76596"/>
    <w:multiLevelType w:val="hybridMultilevel"/>
    <w:tmpl w:val="CA7687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8BF3F4D"/>
    <w:multiLevelType w:val="hybridMultilevel"/>
    <w:tmpl w:val="4798EF12"/>
    <w:lvl w:ilvl="0" w:tplc="EBB2BA60">
      <w:start w:val="1"/>
      <w:numFmt w:val="bullet"/>
      <w:lvlText w:val="-"/>
      <w:lvlJc w:val="left"/>
      <w:pPr>
        <w:ind w:left="1800" w:hanging="360"/>
      </w:pPr>
      <w:rPr>
        <w:rFonts w:ascii="Calibri" w:eastAsia="Calibri" w:hAnsi="Calibri" w:cs="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6A4C44EC"/>
    <w:multiLevelType w:val="hybridMultilevel"/>
    <w:tmpl w:val="C10ED6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7FE1F58"/>
    <w:multiLevelType w:val="hybridMultilevel"/>
    <w:tmpl w:val="5E72BF6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16cid:durableId="729957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9086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9835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4280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8928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657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50157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0833272">
    <w:abstractNumId w:val="10"/>
  </w:num>
  <w:num w:numId="9" w16cid:durableId="1213686785">
    <w:abstractNumId w:val="7"/>
  </w:num>
  <w:num w:numId="10" w16cid:durableId="1953513113">
    <w:abstractNumId w:val="1"/>
  </w:num>
  <w:num w:numId="11" w16cid:durableId="1688366699">
    <w:abstractNumId w:val="15"/>
  </w:num>
  <w:num w:numId="12" w16cid:durableId="1416324571">
    <w:abstractNumId w:val="12"/>
  </w:num>
  <w:num w:numId="13" w16cid:durableId="664748253">
    <w:abstractNumId w:val="16"/>
  </w:num>
  <w:num w:numId="14" w16cid:durableId="1613632621">
    <w:abstractNumId w:val="13"/>
  </w:num>
  <w:num w:numId="15" w16cid:durableId="1594171290">
    <w:abstractNumId w:val="0"/>
  </w:num>
  <w:num w:numId="16" w16cid:durableId="1960793519">
    <w:abstractNumId w:val="18"/>
  </w:num>
  <w:num w:numId="17" w16cid:durableId="1560019340">
    <w:abstractNumId w:val="11"/>
  </w:num>
  <w:num w:numId="18" w16cid:durableId="51194426">
    <w:abstractNumId w:val="14"/>
  </w:num>
  <w:num w:numId="19" w16cid:durableId="12506541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7B"/>
    <w:rsid w:val="0000153D"/>
    <w:rsid w:val="000345A6"/>
    <w:rsid w:val="00040D08"/>
    <w:rsid w:val="00041060"/>
    <w:rsid w:val="00041733"/>
    <w:rsid w:val="00041991"/>
    <w:rsid w:val="00042787"/>
    <w:rsid w:val="00066B8B"/>
    <w:rsid w:val="000750CC"/>
    <w:rsid w:val="000A02E6"/>
    <w:rsid w:val="000A0D89"/>
    <w:rsid w:val="000A357F"/>
    <w:rsid w:val="000B5567"/>
    <w:rsid w:val="000B5F50"/>
    <w:rsid w:val="000B6B59"/>
    <w:rsid w:val="000C0242"/>
    <w:rsid w:val="000E04C9"/>
    <w:rsid w:val="000F02E8"/>
    <w:rsid w:val="001151C0"/>
    <w:rsid w:val="00122BD0"/>
    <w:rsid w:val="00122E0A"/>
    <w:rsid w:val="00123D20"/>
    <w:rsid w:val="00125147"/>
    <w:rsid w:val="001621EC"/>
    <w:rsid w:val="0017749B"/>
    <w:rsid w:val="0018270A"/>
    <w:rsid w:val="001A5D74"/>
    <w:rsid w:val="001B0470"/>
    <w:rsid w:val="001D27B0"/>
    <w:rsid w:val="001D6316"/>
    <w:rsid w:val="001E245D"/>
    <w:rsid w:val="001E4645"/>
    <w:rsid w:val="001E7A69"/>
    <w:rsid w:val="001F0435"/>
    <w:rsid w:val="001F3D44"/>
    <w:rsid w:val="00202D1C"/>
    <w:rsid w:val="0020578A"/>
    <w:rsid w:val="00231AE2"/>
    <w:rsid w:val="00253731"/>
    <w:rsid w:val="00271750"/>
    <w:rsid w:val="002746AF"/>
    <w:rsid w:val="002753C5"/>
    <w:rsid w:val="002816CA"/>
    <w:rsid w:val="00294E60"/>
    <w:rsid w:val="002C1841"/>
    <w:rsid w:val="002F03F9"/>
    <w:rsid w:val="00326884"/>
    <w:rsid w:val="00343C24"/>
    <w:rsid w:val="003463CE"/>
    <w:rsid w:val="00370762"/>
    <w:rsid w:val="00377EBE"/>
    <w:rsid w:val="0038018C"/>
    <w:rsid w:val="00387FB4"/>
    <w:rsid w:val="003970CC"/>
    <w:rsid w:val="003B1AFF"/>
    <w:rsid w:val="003C3728"/>
    <w:rsid w:val="003D479C"/>
    <w:rsid w:val="003D717B"/>
    <w:rsid w:val="00423A7B"/>
    <w:rsid w:val="004536E4"/>
    <w:rsid w:val="004700E5"/>
    <w:rsid w:val="004853C2"/>
    <w:rsid w:val="004A342A"/>
    <w:rsid w:val="004B0CAB"/>
    <w:rsid w:val="004D3D1F"/>
    <w:rsid w:val="004E268C"/>
    <w:rsid w:val="00507CBF"/>
    <w:rsid w:val="005167A4"/>
    <w:rsid w:val="00537DD5"/>
    <w:rsid w:val="0056506B"/>
    <w:rsid w:val="00571E76"/>
    <w:rsid w:val="0058589A"/>
    <w:rsid w:val="00586180"/>
    <w:rsid w:val="00591A45"/>
    <w:rsid w:val="005A7FD2"/>
    <w:rsid w:val="005B3ABE"/>
    <w:rsid w:val="005B3BE0"/>
    <w:rsid w:val="005B610C"/>
    <w:rsid w:val="005D6B25"/>
    <w:rsid w:val="005E7C61"/>
    <w:rsid w:val="005F26F9"/>
    <w:rsid w:val="00610CA0"/>
    <w:rsid w:val="00625848"/>
    <w:rsid w:val="006275A6"/>
    <w:rsid w:val="00630383"/>
    <w:rsid w:val="0066155E"/>
    <w:rsid w:val="006668DF"/>
    <w:rsid w:val="00677829"/>
    <w:rsid w:val="00686C22"/>
    <w:rsid w:val="00695943"/>
    <w:rsid w:val="006A3C51"/>
    <w:rsid w:val="006B34B8"/>
    <w:rsid w:val="006E0C05"/>
    <w:rsid w:val="006E3F48"/>
    <w:rsid w:val="00711B74"/>
    <w:rsid w:val="007202C4"/>
    <w:rsid w:val="00724637"/>
    <w:rsid w:val="00726FD2"/>
    <w:rsid w:val="007338DD"/>
    <w:rsid w:val="00753A25"/>
    <w:rsid w:val="007702E4"/>
    <w:rsid w:val="007A0309"/>
    <w:rsid w:val="007A1DB5"/>
    <w:rsid w:val="007A27BF"/>
    <w:rsid w:val="007A35B9"/>
    <w:rsid w:val="007C3799"/>
    <w:rsid w:val="007D0DD0"/>
    <w:rsid w:val="007F6EEA"/>
    <w:rsid w:val="00803767"/>
    <w:rsid w:val="008374EB"/>
    <w:rsid w:val="00840597"/>
    <w:rsid w:val="00875EA5"/>
    <w:rsid w:val="00881568"/>
    <w:rsid w:val="008962D2"/>
    <w:rsid w:val="008B5547"/>
    <w:rsid w:val="008C2742"/>
    <w:rsid w:val="008D573C"/>
    <w:rsid w:val="008F3CCE"/>
    <w:rsid w:val="00901928"/>
    <w:rsid w:val="00901FB9"/>
    <w:rsid w:val="009245FA"/>
    <w:rsid w:val="00974F9F"/>
    <w:rsid w:val="009A3908"/>
    <w:rsid w:val="009A6E70"/>
    <w:rsid w:val="009B0A2B"/>
    <w:rsid w:val="009B2ECD"/>
    <w:rsid w:val="009B7713"/>
    <w:rsid w:val="009C7E88"/>
    <w:rsid w:val="009D66F1"/>
    <w:rsid w:val="009E5089"/>
    <w:rsid w:val="009F2A1B"/>
    <w:rsid w:val="00A27B6C"/>
    <w:rsid w:val="00A31FAC"/>
    <w:rsid w:val="00A55684"/>
    <w:rsid w:val="00A96A9D"/>
    <w:rsid w:val="00AA2F54"/>
    <w:rsid w:val="00AB7A82"/>
    <w:rsid w:val="00AC30D7"/>
    <w:rsid w:val="00AD3744"/>
    <w:rsid w:val="00AD403B"/>
    <w:rsid w:val="00AD6C6F"/>
    <w:rsid w:val="00AE29A2"/>
    <w:rsid w:val="00AE60C2"/>
    <w:rsid w:val="00AF0C3F"/>
    <w:rsid w:val="00B02074"/>
    <w:rsid w:val="00B054C6"/>
    <w:rsid w:val="00B21441"/>
    <w:rsid w:val="00B30B22"/>
    <w:rsid w:val="00B54C66"/>
    <w:rsid w:val="00B60EED"/>
    <w:rsid w:val="00B72E98"/>
    <w:rsid w:val="00B754F7"/>
    <w:rsid w:val="00B950A4"/>
    <w:rsid w:val="00BA62F6"/>
    <w:rsid w:val="00BA647C"/>
    <w:rsid w:val="00BB3D58"/>
    <w:rsid w:val="00BC23F2"/>
    <w:rsid w:val="00BD493F"/>
    <w:rsid w:val="00C0377B"/>
    <w:rsid w:val="00C25A87"/>
    <w:rsid w:val="00C34183"/>
    <w:rsid w:val="00C445E0"/>
    <w:rsid w:val="00C45A57"/>
    <w:rsid w:val="00C516FF"/>
    <w:rsid w:val="00C628D3"/>
    <w:rsid w:val="00C730F3"/>
    <w:rsid w:val="00C80F7C"/>
    <w:rsid w:val="00CA183B"/>
    <w:rsid w:val="00CA66A9"/>
    <w:rsid w:val="00CB1C63"/>
    <w:rsid w:val="00CC2A15"/>
    <w:rsid w:val="00CF10C3"/>
    <w:rsid w:val="00D0065A"/>
    <w:rsid w:val="00D05D73"/>
    <w:rsid w:val="00D25013"/>
    <w:rsid w:val="00D45062"/>
    <w:rsid w:val="00D65873"/>
    <w:rsid w:val="00D71E34"/>
    <w:rsid w:val="00D80AC5"/>
    <w:rsid w:val="00D91AC8"/>
    <w:rsid w:val="00DA2BF2"/>
    <w:rsid w:val="00DB1D3A"/>
    <w:rsid w:val="00DB714F"/>
    <w:rsid w:val="00DE3495"/>
    <w:rsid w:val="00E06C3F"/>
    <w:rsid w:val="00E07D2F"/>
    <w:rsid w:val="00E13E84"/>
    <w:rsid w:val="00E2068B"/>
    <w:rsid w:val="00E45FFF"/>
    <w:rsid w:val="00E501F4"/>
    <w:rsid w:val="00E52723"/>
    <w:rsid w:val="00E92BA3"/>
    <w:rsid w:val="00EA6F92"/>
    <w:rsid w:val="00EB0FF5"/>
    <w:rsid w:val="00EC4928"/>
    <w:rsid w:val="00ED1D7A"/>
    <w:rsid w:val="00ED4B1C"/>
    <w:rsid w:val="00EF52FE"/>
    <w:rsid w:val="00F02ECD"/>
    <w:rsid w:val="00F105F3"/>
    <w:rsid w:val="00F3686B"/>
    <w:rsid w:val="00F45775"/>
    <w:rsid w:val="00F526A3"/>
    <w:rsid w:val="00F56FC9"/>
    <w:rsid w:val="00F65301"/>
    <w:rsid w:val="00F65A40"/>
    <w:rsid w:val="00FB708D"/>
    <w:rsid w:val="00FC401A"/>
    <w:rsid w:val="00FD623B"/>
    <w:rsid w:val="00FE0397"/>
    <w:rsid w:val="07D718F4"/>
    <w:rsid w:val="085CCD78"/>
    <w:rsid w:val="0C2F7C3F"/>
    <w:rsid w:val="0C976759"/>
    <w:rsid w:val="15130A39"/>
    <w:rsid w:val="1BF22D4E"/>
    <w:rsid w:val="2E771400"/>
    <w:rsid w:val="3329542E"/>
    <w:rsid w:val="36947D3E"/>
    <w:rsid w:val="3ED72429"/>
    <w:rsid w:val="4A04E22A"/>
    <w:rsid w:val="52E665B7"/>
    <w:rsid w:val="5FDEE6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CC76C"/>
  <w15:docId w15:val="{54FEAF8D-D1DE-4192-8F7E-5BC0DC0D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728"/>
    <w:pPr>
      <w:spacing w:before="120" w:after="120"/>
      <w:jc w:val="both"/>
    </w:pPr>
    <w:rPr>
      <w:rFonts w:asciiTheme="minorHAnsi" w:hAnsiTheme="minorHAnsi"/>
      <w:sz w:val="22"/>
      <w:szCs w:val="24"/>
      <w:lang w:val="en-GB" w:eastAsia="en-US"/>
    </w:rPr>
  </w:style>
  <w:style w:type="paragraph" w:styleId="Heading1">
    <w:name w:val="heading 1"/>
    <w:basedOn w:val="Normal"/>
    <w:next w:val="Normal"/>
    <w:link w:val="Heading1Char"/>
    <w:qFormat/>
    <w:rsid w:val="00C341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750"/>
    <w:pPr>
      <w:tabs>
        <w:tab w:val="center" w:pos="4320"/>
        <w:tab w:val="right" w:pos="8640"/>
      </w:tabs>
    </w:pPr>
  </w:style>
  <w:style w:type="paragraph" w:styleId="Footer">
    <w:name w:val="footer"/>
    <w:basedOn w:val="Normal"/>
    <w:link w:val="FooterChar"/>
    <w:uiPriority w:val="99"/>
    <w:rsid w:val="00271750"/>
    <w:pPr>
      <w:tabs>
        <w:tab w:val="center" w:pos="4320"/>
        <w:tab w:val="right" w:pos="8640"/>
      </w:tabs>
    </w:pPr>
  </w:style>
  <w:style w:type="character" w:customStyle="1" w:styleId="FooterChar">
    <w:name w:val="Footer Char"/>
    <w:link w:val="Footer"/>
    <w:uiPriority w:val="99"/>
    <w:rsid w:val="00271750"/>
    <w:rPr>
      <w:rFonts w:ascii="Tahoma" w:hAnsi="Tahoma"/>
      <w:sz w:val="24"/>
      <w:szCs w:val="24"/>
      <w:lang w:val="en-US" w:eastAsia="en-US" w:bidi="ar-SA"/>
    </w:rPr>
  </w:style>
  <w:style w:type="paragraph" w:styleId="BalloonText">
    <w:name w:val="Balloon Text"/>
    <w:basedOn w:val="Normal"/>
    <w:link w:val="BalloonTextChar"/>
    <w:uiPriority w:val="99"/>
    <w:rsid w:val="000A02E6"/>
    <w:rPr>
      <w:rFonts w:cs="Tahoma"/>
      <w:sz w:val="16"/>
      <w:szCs w:val="16"/>
    </w:rPr>
  </w:style>
  <w:style w:type="character" w:customStyle="1" w:styleId="BalloonTextChar">
    <w:name w:val="Balloon Text Char"/>
    <w:link w:val="BalloonText"/>
    <w:uiPriority w:val="99"/>
    <w:rsid w:val="000A02E6"/>
    <w:rPr>
      <w:rFonts w:ascii="Tahoma" w:hAnsi="Tahoma" w:cs="Tahoma"/>
      <w:sz w:val="16"/>
      <w:szCs w:val="16"/>
    </w:rPr>
  </w:style>
  <w:style w:type="paragraph" w:styleId="ListParagraph">
    <w:name w:val="List Paragraph"/>
    <w:basedOn w:val="Normal"/>
    <w:uiPriority w:val="34"/>
    <w:qFormat/>
    <w:rsid w:val="002816CA"/>
    <w:pPr>
      <w:ind w:left="720"/>
      <w:contextualSpacing/>
    </w:pPr>
    <w:rPr>
      <w:rFonts w:ascii="Calibri" w:eastAsia="Calibri" w:hAnsi="Calibri"/>
      <w:szCs w:val="22"/>
    </w:rPr>
  </w:style>
  <w:style w:type="paragraph" w:styleId="NormalWeb">
    <w:name w:val="Normal (Web)"/>
    <w:basedOn w:val="Normal"/>
    <w:uiPriority w:val="99"/>
    <w:unhideWhenUsed/>
    <w:rsid w:val="00A55684"/>
    <w:pPr>
      <w:spacing w:after="88"/>
    </w:pPr>
    <w:rPr>
      <w:rFonts w:ascii="Times New Roman" w:hAnsi="Times New Roman"/>
    </w:rPr>
  </w:style>
  <w:style w:type="character" w:customStyle="1" w:styleId="Heading1Char">
    <w:name w:val="Heading 1 Char"/>
    <w:link w:val="Heading1"/>
    <w:rsid w:val="00C34183"/>
    <w:rPr>
      <w:rFonts w:ascii="Cambria" w:eastAsia="Times New Roman" w:hAnsi="Cambria" w:cs="Times New Roman"/>
      <w:b/>
      <w:bCs/>
      <w:kern w:val="32"/>
      <w:sz w:val="32"/>
      <w:szCs w:val="32"/>
      <w:lang w:val="en-US" w:eastAsia="en-US"/>
    </w:rPr>
  </w:style>
  <w:style w:type="character" w:styleId="Strong">
    <w:name w:val="Strong"/>
    <w:qFormat/>
    <w:rsid w:val="00C34183"/>
    <w:rPr>
      <w:b/>
      <w:bCs/>
    </w:rPr>
  </w:style>
  <w:style w:type="character" w:styleId="Emphasis">
    <w:name w:val="Emphasis"/>
    <w:qFormat/>
    <w:rsid w:val="00C34183"/>
    <w:rPr>
      <w:i/>
      <w:iCs/>
    </w:rPr>
  </w:style>
  <w:style w:type="character" w:customStyle="1" w:styleId="text">
    <w:name w:val="text"/>
    <w:basedOn w:val="DefaultParagraphFont"/>
    <w:rsid w:val="005167A4"/>
  </w:style>
  <w:style w:type="paragraph" w:styleId="BodyText">
    <w:name w:val="Body Text"/>
    <w:basedOn w:val="Normal"/>
    <w:link w:val="BodyTextChar"/>
    <w:unhideWhenUsed/>
    <w:rsid w:val="006E0C05"/>
    <w:pPr>
      <w:ind w:right="-1754"/>
    </w:pPr>
    <w:rPr>
      <w:rFonts w:ascii="Times New Roman" w:hAnsi="Times New Roman"/>
      <w:lang w:val="en-ZA"/>
    </w:rPr>
  </w:style>
  <w:style w:type="character" w:customStyle="1" w:styleId="BodyTextChar">
    <w:name w:val="Body Text Char"/>
    <w:link w:val="BodyText"/>
    <w:rsid w:val="006E0C05"/>
    <w:rPr>
      <w:sz w:val="24"/>
      <w:szCs w:val="24"/>
      <w:lang w:eastAsia="en-US"/>
    </w:rPr>
  </w:style>
  <w:style w:type="character" w:styleId="Hyperlink">
    <w:name w:val="Hyperlink"/>
    <w:basedOn w:val="DefaultParagraphFont"/>
    <w:rsid w:val="00E06C3F"/>
    <w:rPr>
      <w:color w:val="0000FF" w:themeColor="hyperlink"/>
      <w:u w:val="single"/>
    </w:rPr>
  </w:style>
  <w:style w:type="paragraph" w:customStyle="1" w:styleId="Default">
    <w:name w:val="Default"/>
    <w:rsid w:val="00901FB9"/>
    <w:pPr>
      <w:autoSpaceDE w:val="0"/>
      <w:autoSpaceDN w:val="0"/>
      <w:adjustRightInd w:val="0"/>
    </w:pPr>
    <w:rPr>
      <w:rFonts w:ascii="Calibri" w:hAnsi="Calibri" w:cs="Calibri"/>
      <w:color w:val="000000"/>
      <w:sz w:val="24"/>
      <w:szCs w:val="24"/>
    </w:rPr>
  </w:style>
  <w:style w:type="character" w:customStyle="1" w:styleId="AllCapsChar">
    <w:name w:val="All Caps Char"/>
    <w:basedOn w:val="DefaultParagraphFont"/>
    <w:link w:val="AllCaps"/>
    <w:locked/>
    <w:rsid w:val="00625848"/>
    <w:rPr>
      <w:rFonts w:ascii="Tahoma" w:hAnsi="Tahoma" w:cs="Tahoma"/>
      <w:caps/>
      <w:sz w:val="16"/>
      <w:szCs w:val="12"/>
      <w:lang w:val="en-US" w:eastAsia="en-US"/>
    </w:rPr>
  </w:style>
  <w:style w:type="paragraph" w:customStyle="1" w:styleId="AllCaps">
    <w:name w:val="All Caps"/>
    <w:basedOn w:val="Normal"/>
    <w:link w:val="AllCapsChar"/>
    <w:rsid w:val="00625848"/>
    <w:pPr>
      <w:framePr w:hSpace="187" w:wrap="around" w:vAnchor="text" w:hAnchor="margin" w:xAlign="center" w:y="1"/>
      <w:tabs>
        <w:tab w:val="left" w:pos="1325"/>
        <w:tab w:val="left" w:pos="2995"/>
        <w:tab w:val="left" w:pos="5040"/>
        <w:tab w:val="left" w:pos="6955"/>
      </w:tabs>
      <w:spacing w:before="40"/>
    </w:pPr>
    <w:rPr>
      <w:rFonts w:cs="Tahoma"/>
      <w:caps/>
      <w:sz w:val="16"/>
      <w:szCs w:val="12"/>
    </w:rPr>
  </w:style>
  <w:style w:type="character" w:customStyle="1" w:styleId="CheckBoxChar">
    <w:name w:val="Check Box Char"/>
    <w:basedOn w:val="AllCapsChar"/>
    <w:link w:val="CheckBox"/>
    <w:locked/>
    <w:rsid w:val="00625848"/>
    <w:rPr>
      <w:rFonts w:ascii="Tahoma" w:hAnsi="Tahoma" w:cs="Tahoma"/>
      <w:caps/>
      <w:color w:val="008080"/>
      <w:sz w:val="16"/>
      <w:szCs w:val="12"/>
      <w:lang w:val="en-US" w:eastAsia="en-US"/>
    </w:rPr>
  </w:style>
  <w:style w:type="paragraph" w:customStyle="1" w:styleId="CheckBox">
    <w:name w:val="Check Box"/>
    <w:basedOn w:val="AllCaps"/>
    <w:link w:val="CheckBoxChar"/>
    <w:rsid w:val="00625848"/>
    <w:pPr>
      <w:framePr w:wrap="around"/>
    </w:pPr>
    <w:rPr>
      <w:color w:val="008080"/>
    </w:rPr>
  </w:style>
  <w:style w:type="character" w:customStyle="1" w:styleId="HeaderChar">
    <w:name w:val="Header Char"/>
    <w:basedOn w:val="DefaultParagraphFont"/>
    <w:link w:val="Header"/>
    <w:uiPriority w:val="99"/>
    <w:rsid w:val="009E5089"/>
    <w:rPr>
      <w:rFonts w:asciiTheme="minorHAnsi" w:hAnsiTheme="minorHAnsi"/>
      <w:sz w:val="22"/>
      <w:szCs w:val="24"/>
      <w:lang w:val="en-GB" w:eastAsia="en-US"/>
    </w:rPr>
  </w:style>
  <w:style w:type="paragraph" w:customStyle="1" w:styleId="SACAPHEADING3">
    <w:name w:val="SACAP HEADING 3"/>
    <w:basedOn w:val="Normal"/>
    <w:link w:val="SACAPHEADING3Char"/>
    <w:qFormat/>
    <w:rsid w:val="00D80AC5"/>
    <w:pPr>
      <w:autoSpaceDE w:val="0"/>
      <w:autoSpaceDN w:val="0"/>
      <w:adjustRightInd w:val="0"/>
      <w:jc w:val="left"/>
    </w:pPr>
    <w:rPr>
      <w:rFonts w:ascii="Calibri" w:eastAsia="Calibri" w:hAnsi="Calibri" w:cs="Calibri"/>
      <w:b/>
      <w:bCs/>
      <w:sz w:val="28"/>
      <w:szCs w:val="28"/>
    </w:rPr>
  </w:style>
  <w:style w:type="character" w:customStyle="1" w:styleId="SACAPHEADING3Char">
    <w:name w:val="SACAP HEADING 3 Char"/>
    <w:basedOn w:val="DefaultParagraphFont"/>
    <w:link w:val="SACAPHEADING3"/>
    <w:rsid w:val="00D80AC5"/>
    <w:rPr>
      <w:rFonts w:ascii="Calibri" w:eastAsia="Calibri" w:hAnsi="Calibri" w:cs="Calibri"/>
      <w:b/>
      <w:bCs/>
      <w:sz w:val="28"/>
      <w:szCs w:val="28"/>
      <w:lang w:val="en-GB" w:eastAsia="en-US"/>
    </w:rPr>
  </w:style>
  <w:style w:type="character" w:customStyle="1" w:styleId="apple-style-span">
    <w:name w:val="apple-style-span"/>
    <w:basedOn w:val="DefaultParagraphFont"/>
    <w:rsid w:val="00D80AC5"/>
  </w:style>
  <w:style w:type="paragraph" w:customStyle="1" w:styleId="SACAPBODYTEXT">
    <w:name w:val="SACAP BODY TEXT"/>
    <w:basedOn w:val="Normal"/>
    <w:link w:val="SACAPBODYTEXTChar"/>
    <w:qFormat/>
    <w:rsid w:val="00D80AC5"/>
    <w:pPr>
      <w:autoSpaceDE w:val="0"/>
      <w:autoSpaceDN w:val="0"/>
      <w:adjustRightInd w:val="0"/>
      <w:spacing w:before="0" w:after="0" w:line="360" w:lineRule="auto"/>
    </w:pPr>
    <w:rPr>
      <w:rFonts w:ascii="Calibri" w:eastAsia="Calibri" w:hAnsi="Calibri" w:cs="Calibri"/>
      <w:color w:val="000000"/>
      <w:szCs w:val="22"/>
    </w:rPr>
  </w:style>
  <w:style w:type="character" w:customStyle="1" w:styleId="SACAPBODYTEXTChar">
    <w:name w:val="SACAP BODY TEXT Char"/>
    <w:basedOn w:val="DefaultParagraphFont"/>
    <w:link w:val="SACAPBODYTEXT"/>
    <w:rsid w:val="00D80AC5"/>
    <w:rPr>
      <w:rFonts w:ascii="Calibri" w:eastAsia="Calibri" w:hAnsi="Calibri" w:cs="Calibri"/>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4122">
      <w:bodyDiv w:val="1"/>
      <w:marLeft w:val="0"/>
      <w:marRight w:val="0"/>
      <w:marTop w:val="0"/>
      <w:marBottom w:val="0"/>
      <w:divBdr>
        <w:top w:val="none" w:sz="0" w:space="0" w:color="auto"/>
        <w:left w:val="none" w:sz="0" w:space="0" w:color="auto"/>
        <w:bottom w:val="none" w:sz="0" w:space="0" w:color="auto"/>
        <w:right w:val="none" w:sz="0" w:space="0" w:color="auto"/>
      </w:divBdr>
    </w:div>
    <w:div w:id="305279804">
      <w:bodyDiv w:val="1"/>
      <w:marLeft w:val="0"/>
      <w:marRight w:val="0"/>
      <w:marTop w:val="0"/>
      <w:marBottom w:val="0"/>
      <w:divBdr>
        <w:top w:val="none" w:sz="0" w:space="0" w:color="auto"/>
        <w:left w:val="none" w:sz="0" w:space="0" w:color="auto"/>
        <w:bottom w:val="none" w:sz="0" w:space="0" w:color="auto"/>
        <w:right w:val="none" w:sz="0" w:space="0" w:color="auto"/>
      </w:divBdr>
    </w:div>
    <w:div w:id="167526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B\AppData\Local\Microsoft\Windows\Temporary%20Internet%20Files\Content.Outlook\LM32FM7T\SACAP%20Letterhead_Nov%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4FC8C865574469BBA1C96EF29A876" ma:contentTypeVersion="16" ma:contentTypeDescription="Create a new document." ma:contentTypeScope="" ma:versionID="c61015d90c081684d9a2772ec37fb5ce">
  <xsd:schema xmlns:xsd="http://www.w3.org/2001/XMLSchema" xmlns:xs="http://www.w3.org/2001/XMLSchema" xmlns:p="http://schemas.microsoft.com/office/2006/metadata/properties" xmlns:ns2="af355fc4-6630-46f5-bed1-a48d8b5de3cd" xmlns:ns3="30d95cbb-caa5-4ad8-8f31-d75ec4a91e15" targetNamespace="http://schemas.microsoft.com/office/2006/metadata/properties" ma:root="true" ma:fieldsID="30e1a6ee67374aca5adc4ec01b803d4e" ns2:_="" ns3:_="">
    <xsd:import namespace="af355fc4-6630-46f5-bed1-a48d8b5de3cd"/>
    <xsd:import namespace="30d95cbb-caa5-4ad8-8f31-d75ec4a91e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55fc4-6630-46f5-bed1-a48d8b5de3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653b54-b02f-48d6-81a0-0c5fc238eb45}" ma:internalName="TaxCatchAll" ma:showField="CatchAllData" ma:web="af355fc4-6630-46f5-bed1-a48d8b5de3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95cbb-caa5-4ad8-8f31-d75ec4a91e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a5bee99-45dc-4289-a7be-0d90e416ef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95cbb-caa5-4ad8-8f31-d75ec4a91e15">
      <Terms xmlns="http://schemas.microsoft.com/office/infopath/2007/PartnerControls"/>
    </lcf76f155ced4ddcb4097134ff3c332f>
    <TaxCatchAll xmlns="af355fc4-6630-46f5-bed1-a48d8b5de3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B631B-3A60-4A16-A6D3-4962B542E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55fc4-6630-46f5-bed1-a48d8b5de3cd"/>
    <ds:schemaRef ds:uri="30d95cbb-caa5-4ad8-8f31-d75ec4a91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3DA9E-3CD2-40A7-8F1F-C19FDE836C7E}">
  <ds:schemaRefs>
    <ds:schemaRef ds:uri="http://schemas.microsoft.com/office/2006/metadata/properties"/>
    <ds:schemaRef ds:uri="http://schemas.microsoft.com/office/infopath/2007/PartnerControls"/>
    <ds:schemaRef ds:uri="30d95cbb-caa5-4ad8-8f31-d75ec4a91e15"/>
    <ds:schemaRef ds:uri="af355fc4-6630-46f5-bed1-a48d8b5de3cd"/>
  </ds:schemaRefs>
</ds:datastoreItem>
</file>

<file path=customXml/itemProps3.xml><?xml version="1.0" encoding="utf-8"?>
<ds:datastoreItem xmlns:ds="http://schemas.openxmlformats.org/officeDocument/2006/customXml" ds:itemID="{40AC7E64-C240-4E6B-9E3B-93F9D0A1F763}">
  <ds:schemaRefs>
    <ds:schemaRef ds:uri="http://schemas.openxmlformats.org/officeDocument/2006/bibliography"/>
  </ds:schemaRefs>
</ds:datastoreItem>
</file>

<file path=customXml/itemProps4.xml><?xml version="1.0" encoding="utf-8"?>
<ds:datastoreItem xmlns:ds="http://schemas.openxmlformats.org/officeDocument/2006/customXml" ds:itemID="{9CF6708A-1A4B-4979-AAA4-9277DA213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SACAP Letterhead_Nov 2011</Template>
  <TotalTime>0</TotalTime>
  <Pages>3</Pages>
  <Words>1973</Words>
  <Characters>11130</Characters>
  <Application>Microsoft Office Word</Application>
  <DocSecurity>0</DocSecurity>
  <Lines>179</Lines>
  <Paragraphs>59</Paragraphs>
  <ScaleCrop>false</ScaleCrop>
  <Company>SACAP</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LisaB</dc:creator>
  <cp:lastModifiedBy>Laura Neal</cp:lastModifiedBy>
  <cp:revision>2</cp:revision>
  <cp:lastPrinted>2020-02-12T12:52:00Z</cp:lastPrinted>
  <dcterms:created xsi:type="dcterms:W3CDTF">2026-02-11T10:46:00Z</dcterms:created>
  <dcterms:modified xsi:type="dcterms:W3CDTF">2026-02-11T10:46:00Z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carlbadenhorst</vt:lpwstr>
  </property>
  <property fmtid="{D5CDD505-2E9C-101B-9397-08002B2CF9AE}" pid="3" name="ContentTypeId">
    <vt:lpwstr>0x010100F664FC8C865574469BBA1C96EF29A876</vt:lpwstr>
  </property>
  <property fmtid="{D5CDD505-2E9C-101B-9397-08002B2CF9AE}" pid="4" name="MediaServiceImageTags">
    <vt:lpwstr/>
  </property>
</Properties>
</file>